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F9" w:rsidRPr="00A964F6"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1D368D">
        <w:rPr>
          <w:rFonts w:ascii="Tahoma" w:hAnsi="Tahoma" w:cs="Tahoma"/>
          <w:b/>
          <w:sz w:val="24"/>
        </w:rPr>
        <w:t xml:space="preserve"> </w:t>
      </w:r>
      <w:r w:rsidR="001B2CF9" w:rsidRPr="001B2CF9">
        <w:rPr>
          <w:rFonts w:ascii="Tahoma" w:hAnsi="Tahoma" w:cs="Tahoma"/>
          <w:b/>
          <w:sz w:val="24"/>
        </w:rPr>
        <w:t xml:space="preserve">о существенном факте </w:t>
      </w:r>
    </w:p>
    <w:p w:rsidR="00A964F6" w:rsidRPr="00A964F6" w:rsidRDefault="00A964F6" w:rsidP="00A964F6">
      <w:pPr>
        <w:pStyle w:val="ConsPlusNonformat"/>
        <w:jc w:val="center"/>
        <w:rPr>
          <w:rFonts w:ascii="Tahoma" w:hAnsi="Tahoma" w:cs="Tahoma"/>
          <w:b/>
          <w:sz w:val="24"/>
        </w:rPr>
      </w:pPr>
      <w:r w:rsidRPr="00A964F6">
        <w:rPr>
          <w:rFonts w:ascii="Tahoma" w:hAnsi="Tahoma" w:cs="Tahoma"/>
          <w:b/>
          <w:sz w:val="24"/>
        </w:rPr>
        <w:t>об этапах процедуры эмиссии ценных бумаг эмитента</w:t>
      </w:r>
    </w:p>
    <w:p w:rsidR="00DB741E" w:rsidRPr="00A964F6" w:rsidRDefault="00A964F6" w:rsidP="00F748D1">
      <w:pPr>
        <w:pStyle w:val="ConsPlusNonformat"/>
        <w:jc w:val="center"/>
        <w:rPr>
          <w:rFonts w:ascii="Tahoma" w:hAnsi="Tahoma" w:cs="Tahoma"/>
          <w:b/>
          <w:sz w:val="24"/>
        </w:rPr>
      </w:pPr>
      <w:r w:rsidRPr="00A964F6">
        <w:rPr>
          <w:rFonts w:ascii="Tahoma" w:hAnsi="Tahoma" w:cs="Tahoma"/>
          <w:b/>
          <w:sz w:val="24"/>
        </w:rPr>
        <w:t>(</w:t>
      </w:r>
      <w:r w:rsidR="00F748D1" w:rsidRPr="00F748D1">
        <w:rPr>
          <w:rFonts w:ascii="Tahoma" w:hAnsi="Tahoma" w:cs="Tahoma"/>
          <w:b/>
          <w:sz w:val="24"/>
        </w:rPr>
        <w:t>о начале размещения ценных бумаг</w:t>
      </w:r>
      <w:r w:rsidRPr="00A964F6">
        <w:rPr>
          <w:rFonts w:ascii="Tahoma" w:hAnsi="Tahoma" w:cs="Tahoma"/>
          <w:b/>
          <w:sz w:val="24"/>
        </w:rPr>
        <w:t>)</w:t>
      </w:r>
    </w:p>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E02258" w:rsidRDefault="00BE37CE" w:rsidP="00E02258">
            <w:pPr>
              <w:pStyle w:val="ConsPlusNormal"/>
              <w:jc w:val="center"/>
              <w:rPr>
                <w:rFonts w:ascii="Tahoma" w:hAnsi="Tahoma" w:cs="Tahoma"/>
                <w:b/>
              </w:rPr>
            </w:pPr>
            <w:hyperlink r:id="rId7" w:history="1">
              <w:r w:rsidR="00E02258" w:rsidRPr="00CB3D2C">
                <w:rPr>
                  <w:rFonts w:ascii="Tahoma" w:hAnsi="Tahoma" w:cs="Tahoma"/>
                  <w:b/>
                </w:rPr>
                <w:t>http://www.e-disclosure.ru/portal/company.aspx?id=266</w:t>
              </w:r>
            </w:hyperlink>
          </w:p>
          <w:p w:rsidR="00DB741E" w:rsidRPr="00317227" w:rsidRDefault="00BE37CE" w:rsidP="00E02258">
            <w:pPr>
              <w:pStyle w:val="ConsPlusNormal"/>
              <w:jc w:val="center"/>
              <w:rPr>
                <w:rFonts w:ascii="Tahoma" w:hAnsi="Tahoma" w:cs="Tahoma"/>
                <w:b/>
              </w:rPr>
            </w:pPr>
            <w:hyperlink r:id="rId8" w:history="1">
              <w:r w:rsidR="00E02258" w:rsidRPr="00E02258">
                <w:rPr>
                  <w:rFonts w:ascii="Tahoma" w:hAnsi="Tahoma" w:cs="Tahoma"/>
                  <w:b/>
                </w:rPr>
                <w:t>http://www.gum.ru/issuer/</w:t>
              </w:r>
            </w:hyperlink>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F748D1" w:rsidRP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Pr="00F748D1">
              <w:rPr>
                <w:rFonts w:ascii="Tahoma" w:hAnsi="Tahoma" w:cs="Tahoma"/>
                <w:sz w:val="20"/>
                <w:szCs w:val="20"/>
              </w:rPr>
              <w:t>ид, категория (тип), серия и иные идентификационные признаки ценных бумаг</w:t>
            </w:r>
            <w:r>
              <w:rPr>
                <w:rFonts w:ascii="Tahoma" w:hAnsi="Tahoma" w:cs="Tahoma"/>
                <w:sz w:val="20"/>
                <w:szCs w:val="20"/>
              </w:rPr>
              <w:t>:</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государственный регистрационный номер выпуска ценных бумаг: 1-04-00030-A;</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дата государственной регистрации выпуска ценных бумаг: </w:t>
            </w:r>
            <w:r w:rsidR="00B14436">
              <w:rPr>
                <w:rFonts w:ascii="Tahoma" w:hAnsi="Tahoma" w:cs="Tahoma"/>
                <w:b/>
                <w:sz w:val="20"/>
                <w:szCs w:val="20"/>
              </w:rPr>
              <w:t>31.07.1997 года</w:t>
            </w:r>
            <w:r w:rsidRPr="006114EF">
              <w:rPr>
                <w:rFonts w:ascii="Tahoma" w:hAnsi="Tahoma" w:cs="Tahoma"/>
                <w:b/>
                <w:sz w:val="20"/>
                <w:szCs w:val="20"/>
              </w:rPr>
              <w:t xml:space="preserve">; </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международный код (номер) идентификации ценных бумаг (ISIN): RU0008913751.</w:t>
            </w: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С</w:t>
            </w:r>
            <w:r w:rsidRPr="00F748D1">
              <w:rPr>
                <w:rFonts w:ascii="Tahoma" w:hAnsi="Tahoma" w:cs="Tahoma"/>
                <w:sz w:val="20"/>
                <w:szCs w:val="20"/>
              </w:rPr>
              <w:t>рок погашения (для облигаций и опционов эмитента)</w:t>
            </w:r>
            <w:r>
              <w:rPr>
                <w:rFonts w:ascii="Tahoma" w:hAnsi="Tahoma" w:cs="Tahoma"/>
                <w:sz w:val="20"/>
                <w:szCs w:val="20"/>
              </w:rPr>
              <w:t>:</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Pr>
                <w:rFonts w:ascii="Tahoma" w:hAnsi="Tahoma" w:cs="Tahoma"/>
                <w:b/>
                <w:sz w:val="20"/>
                <w:szCs w:val="20"/>
              </w:rPr>
              <w:t>с</w:t>
            </w:r>
            <w:r w:rsidRPr="006114EF">
              <w:rPr>
                <w:rFonts w:ascii="Tahoma" w:hAnsi="Tahoma" w:cs="Tahoma"/>
                <w:b/>
                <w:sz w:val="20"/>
                <w:szCs w:val="20"/>
              </w:rPr>
              <w:t>ведения не указываются.</w:t>
            </w:r>
          </w:p>
          <w:p w:rsidR="00F748D1" w:rsidRPr="006114EF" w:rsidRDefault="00F748D1" w:rsidP="00F748D1">
            <w:pPr>
              <w:autoSpaceDE w:val="0"/>
              <w:autoSpaceDN w:val="0"/>
              <w:adjustRightInd w:val="0"/>
              <w:spacing w:after="0" w:line="240" w:lineRule="auto"/>
              <w:ind w:firstLine="540"/>
              <w:jc w:val="both"/>
              <w:rPr>
                <w:rFonts w:ascii="Tahoma" w:hAnsi="Tahoma" w:cs="Tahoma"/>
                <w:sz w:val="20"/>
                <w:szCs w:val="20"/>
              </w:rPr>
            </w:pP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Г</w:t>
            </w:r>
            <w:r w:rsidRPr="00F748D1">
              <w:rPr>
                <w:rFonts w:ascii="Tahoma" w:hAnsi="Tahoma" w:cs="Tahoma"/>
                <w:sz w:val="20"/>
                <w:szCs w:val="20"/>
              </w:rPr>
              <w:t xml:space="preserve">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9" w:history="1">
              <w:r w:rsidRPr="00F748D1">
                <w:rPr>
                  <w:rFonts w:ascii="Tahoma" w:hAnsi="Tahoma" w:cs="Tahoma"/>
                  <w:sz w:val="20"/>
                  <w:szCs w:val="20"/>
                </w:rPr>
                <w:t>законом</w:t>
              </w:r>
            </w:hyperlink>
            <w:r w:rsidRPr="00F748D1">
              <w:rPr>
                <w:rFonts w:ascii="Tahoma" w:hAnsi="Tahoma" w:cs="Tahoma"/>
                <w:sz w:val="20"/>
                <w:szCs w:val="20"/>
              </w:rPr>
              <w:t xml:space="preserve"> "О рынке ценных бумаг" выпуск (дополнительный выпуск) ценных бумаг не подлеж</w:t>
            </w:r>
            <w:r>
              <w:rPr>
                <w:rFonts w:ascii="Tahoma" w:hAnsi="Tahoma" w:cs="Tahoma"/>
                <w:sz w:val="20"/>
                <w:szCs w:val="20"/>
              </w:rPr>
              <w:t>ит государственной регистрации):</w:t>
            </w:r>
          </w:p>
          <w:p w:rsidR="00F748D1" w:rsidRPr="00A53F3C" w:rsidRDefault="00F748D1" w:rsidP="00F748D1">
            <w:pPr>
              <w:autoSpaceDE w:val="0"/>
              <w:autoSpaceDN w:val="0"/>
              <w:adjustRightInd w:val="0"/>
              <w:spacing w:after="0" w:line="240" w:lineRule="auto"/>
              <w:ind w:firstLine="540"/>
              <w:jc w:val="both"/>
              <w:rPr>
                <w:rFonts w:ascii="Tahoma" w:hAnsi="Tahoma" w:cs="Tahoma"/>
                <w:b/>
                <w:sz w:val="20"/>
                <w:szCs w:val="20"/>
              </w:rPr>
            </w:pPr>
            <w:r w:rsidRPr="00A53F3C">
              <w:rPr>
                <w:rFonts w:ascii="Tahoma" w:hAnsi="Tahoma" w:cs="Tahoma"/>
                <w:b/>
                <w:sz w:val="20"/>
                <w:szCs w:val="20"/>
              </w:rPr>
              <w:t>государственный регистрационный номер дополнительного выпуска ценных бумаг: 1-04-00030-A-00</w:t>
            </w:r>
            <w:r w:rsidR="00A53F3C" w:rsidRPr="00A53F3C">
              <w:rPr>
                <w:rFonts w:ascii="Tahoma" w:hAnsi="Tahoma" w:cs="Tahoma"/>
                <w:b/>
                <w:sz w:val="20"/>
                <w:szCs w:val="20"/>
              </w:rPr>
              <w:t>2</w:t>
            </w:r>
            <w:r w:rsidRPr="00A53F3C">
              <w:rPr>
                <w:rFonts w:ascii="Tahoma" w:hAnsi="Tahoma" w:cs="Tahoma"/>
                <w:b/>
                <w:sz w:val="20"/>
                <w:szCs w:val="20"/>
              </w:rPr>
              <w:t>D</w:t>
            </w:r>
            <w:r w:rsidR="00A53F3C">
              <w:rPr>
                <w:rFonts w:ascii="Tahoma" w:hAnsi="Tahoma" w:cs="Tahoma"/>
                <w:b/>
                <w:sz w:val="20"/>
                <w:szCs w:val="20"/>
              </w:rPr>
              <w:t>;</w:t>
            </w:r>
          </w:p>
          <w:p w:rsidR="00F748D1" w:rsidRPr="006114EF" w:rsidRDefault="00F748D1" w:rsidP="00F748D1">
            <w:pPr>
              <w:autoSpaceDE w:val="0"/>
              <w:autoSpaceDN w:val="0"/>
              <w:adjustRightInd w:val="0"/>
              <w:spacing w:after="0" w:line="240" w:lineRule="auto"/>
              <w:ind w:firstLine="540"/>
              <w:jc w:val="both"/>
              <w:rPr>
                <w:rFonts w:ascii="Tahoma" w:hAnsi="Tahoma" w:cs="Tahoma"/>
                <w:b/>
                <w:sz w:val="20"/>
                <w:szCs w:val="20"/>
              </w:rPr>
            </w:pPr>
            <w:r w:rsidRPr="00A53F3C">
              <w:rPr>
                <w:rFonts w:ascii="Tahoma" w:hAnsi="Tahoma" w:cs="Tahoma"/>
                <w:b/>
                <w:sz w:val="20"/>
                <w:szCs w:val="20"/>
              </w:rPr>
              <w:t xml:space="preserve">дата государственной регистрации дополнительного выпуска ценных бумаг: </w:t>
            </w:r>
            <w:r w:rsidR="00A53F3C" w:rsidRPr="00A53F3C">
              <w:rPr>
                <w:rFonts w:ascii="Tahoma" w:hAnsi="Tahoma" w:cs="Tahoma"/>
                <w:b/>
                <w:sz w:val="20"/>
                <w:szCs w:val="20"/>
              </w:rPr>
              <w:t xml:space="preserve">28 апреля </w:t>
            </w:r>
            <w:r w:rsidRPr="00A53F3C">
              <w:rPr>
                <w:rFonts w:ascii="Tahoma" w:hAnsi="Tahoma" w:cs="Tahoma"/>
                <w:b/>
                <w:sz w:val="20"/>
                <w:szCs w:val="20"/>
              </w:rPr>
              <w:t>2016 г</w:t>
            </w:r>
            <w:r w:rsidR="00B14436">
              <w:rPr>
                <w:rFonts w:ascii="Tahoma" w:hAnsi="Tahoma" w:cs="Tahoma"/>
                <w:b/>
                <w:sz w:val="20"/>
                <w:szCs w:val="20"/>
              </w:rPr>
              <w:t>ода</w:t>
            </w:r>
            <w:r w:rsidRPr="00A53F3C">
              <w:rPr>
                <w:rFonts w:ascii="Tahoma" w:hAnsi="Tahoma" w:cs="Tahoma"/>
                <w:b/>
                <w:sz w:val="20"/>
                <w:szCs w:val="20"/>
              </w:rPr>
              <w:t>.</w:t>
            </w:r>
          </w:p>
          <w:p w:rsidR="00F748D1" w:rsidRPr="00943559" w:rsidRDefault="00943559" w:rsidP="00F748D1">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международный код (номер) идентификации ценных бумаг (ISIN): </w:t>
            </w:r>
            <w:r w:rsidRPr="00943559">
              <w:rPr>
                <w:rFonts w:ascii="Tahoma" w:hAnsi="Tahoma" w:cs="Tahoma"/>
                <w:b/>
                <w:sz w:val="20"/>
                <w:szCs w:val="20"/>
              </w:rPr>
              <w:t>RU000A0JWG54</w:t>
            </w:r>
            <w:r>
              <w:rPr>
                <w:rFonts w:ascii="Tahoma" w:hAnsi="Tahoma" w:cs="Tahoma"/>
                <w:b/>
                <w:sz w:val="20"/>
                <w:szCs w:val="20"/>
              </w:rPr>
              <w:t>.</w:t>
            </w:r>
          </w:p>
          <w:p w:rsidR="00943559" w:rsidRPr="00943559" w:rsidRDefault="00943559" w:rsidP="00F748D1">
            <w:pPr>
              <w:autoSpaceDE w:val="0"/>
              <w:autoSpaceDN w:val="0"/>
              <w:adjustRightInd w:val="0"/>
              <w:spacing w:after="0" w:line="240" w:lineRule="auto"/>
              <w:ind w:firstLine="540"/>
              <w:jc w:val="both"/>
              <w:rPr>
                <w:rFonts w:ascii="Tahoma" w:hAnsi="Tahoma" w:cs="Tahoma"/>
                <w:b/>
                <w:sz w:val="20"/>
                <w:szCs w:val="20"/>
              </w:rPr>
            </w:pP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w:t>
            </w:r>
            <w:r w:rsidRPr="00F748D1">
              <w:rPr>
                <w:rFonts w:ascii="Tahoma" w:hAnsi="Tahoma" w:cs="Tahoma"/>
                <w:sz w:val="20"/>
                <w:szCs w:val="20"/>
              </w:rPr>
              <w:t>аименование регистрирующего органа, осуществившего государственную регистрацию выпуска (дополнительного выпуска) ценных бумаг (наименование органа (организации), присвоившего выпуску (дополнительному выпуску) ценных бумаг идентификационный номер)</w:t>
            </w:r>
            <w:r>
              <w:rPr>
                <w:rFonts w:ascii="Tahoma" w:hAnsi="Tahoma" w:cs="Tahoma"/>
                <w:sz w:val="20"/>
                <w:szCs w:val="20"/>
              </w:rPr>
              <w:t>:</w:t>
            </w:r>
          </w:p>
          <w:p w:rsidR="00F748D1" w:rsidRPr="00F748D1" w:rsidRDefault="00F748D1" w:rsidP="00F748D1">
            <w:pPr>
              <w:autoSpaceDE w:val="0"/>
              <w:autoSpaceDN w:val="0"/>
              <w:adjustRightInd w:val="0"/>
              <w:spacing w:after="0" w:line="240" w:lineRule="auto"/>
              <w:ind w:firstLine="540"/>
              <w:jc w:val="both"/>
              <w:rPr>
                <w:rFonts w:ascii="Tahoma" w:hAnsi="Tahoma" w:cs="Tahoma"/>
                <w:b/>
                <w:sz w:val="20"/>
                <w:szCs w:val="20"/>
              </w:rPr>
            </w:pPr>
            <w:r w:rsidRPr="00F748D1">
              <w:rPr>
                <w:rFonts w:ascii="Tahoma" w:hAnsi="Tahoma" w:cs="Tahoma"/>
                <w:b/>
                <w:sz w:val="20"/>
                <w:szCs w:val="20"/>
              </w:rPr>
              <w:t xml:space="preserve">наименование регистрирующего органа, осуществившего государственную регистрацию дополнительного выпуска ценных бумаг: </w:t>
            </w:r>
            <w:r w:rsidRPr="00A53F3C">
              <w:rPr>
                <w:rFonts w:ascii="Tahoma" w:hAnsi="Tahoma" w:cs="Tahoma"/>
                <w:b/>
                <w:sz w:val="20"/>
                <w:szCs w:val="20"/>
              </w:rPr>
              <w:t>Банк России.</w:t>
            </w:r>
            <w:r w:rsidRPr="00F748D1">
              <w:rPr>
                <w:rFonts w:ascii="Tahoma" w:hAnsi="Tahoma" w:cs="Tahoma"/>
                <w:b/>
                <w:sz w:val="20"/>
                <w:szCs w:val="20"/>
              </w:rPr>
              <w:t xml:space="preserve"> </w:t>
            </w:r>
          </w:p>
          <w:p w:rsidR="00F748D1" w:rsidRPr="00F748D1" w:rsidRDefault="00F748D1" w:rsidP="00F748D1">
            <w:pPr>
              <w:autoSpaceDE w:val="0"/>
              <w:autoSpaceDN w:val="0"/>
              <w:adjustRightInd w:val="0"/>
              <w:spacing w:after="0" w:line="240" w:lineRule="auto"/>
              <w:ind w:firstLine="540"/>
              <w:jc w:val="both"/>
              <w:rPr>
                <w:rFonts w:ascii="Tahoma" w:hAnsi="Tahoma" w:cs="Tahoma"/>
                <w:sz w:val="20"/>
                <w:szCs w:val="20"/>
              </w:rPr>
            </w:pP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К</w:t>
            </w:r>
            <w:r w:rsidRPr="00F748D1">
              <w:rPr>
                <w:rFonts w:ascii="Tahoma" w:hAnsi="Tahoma" w:cs="Tahoma"/>
                <w:sz w:val="20"/>
                <w:szCs w:val="20"/>
              </w:rPr>
              <w:t>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r>
              <w:rPr>
                <w:rFonts w:ascii="Tahoma" w:hAnsi="Tahoma" w:cs="Tahoma"/>
                <w:sz w:val="20"/>
                <w:szCs w:val="20"/>
              </w:rPr>
              <w:t>:</w:t>
            </w:r>
          </w:p>
          <w:p w:rsidR="00F748D1" w:rsidRPr="00E8251C" w:rsidRDefault="00F748D1" w:rsidP="00F748D1">
            <w:pPr>
              <w:autoSpaceDE w:val="0"/>
              <w:autoSpaceDN w:val="0"/>
              <w:adjustRightInd w:val="0"/>
              <w:spacing w:after="0" w:line="240" w:lineRule="auto"/>
              <w:ind w:firstLine="540"/>
              <w:jc w:val="both"/>
              <w:rPr>
                <w:rFonts w:ascii="Tahoma" w:hAnsi="Tahoma" w:cs="Tahoma"/>
                <w:b/>
                <w:sz w:val="20"/>
                <w:szCs w:val="20"/>
              </w:rPr>
            </w:pPr>
            <w:r w:rsidRPr="00E8251C">
              <w:rPr>
                <w:rFonts w:ascii="Tahoma" w:hAnsi="Tahoma" w:cs="Tahoma"/>
                <w:b/>
                <w:sz w:val="20"/>
                <w:szCs w:val="20"/>
              </w:rPr>
              <w:t>количество размещаемых ценных бумаг: 120 000 000 (Сто двадцать миллионов) штук;</w:t>
            </w:r>
          </w:p>
          <w:p w:rsidR="00F748D1" w:rsidRDefault="00F748D1" w:rsidP="00F748D1">
            <w:pPr>
              <w:autoSpaceDE w:val="0"/>
              <w:autoSpaceDN w:val="0"/>
              <w:adjustRightInd w:val="0"/>
              <w:spacing w:after="0" w:line="240" w:lineRule="auto"/>
              <w:ind w:firstLine="540"/>
              <w:jc w:val="both"/>
              <w:rPr>
                <w:rFonts w:ascii="Tahoma" w:hAnsi="Tahoma" w:cs="Tahoma"/>
                <w:b/>
                <w:sz w:val="20"/>
                <w:szCs w:val="20"/>
              </w:rPr>
            </w:pPr>
            <w:r w:rsidRPr="00E8251C">
              <w:rPr>
                <w:rFonts w:ascii="Tahoma" w:hAnsi="Tahoma" w:cs="Tahoma"/>
                <w:b/>
                <w:sz w:val="20"/>
                <w:szCs w:val="20"/>
              </w:rPr>
              <w:t>номинальная стоимость каждой ценной бумаги: 1 (Один) рубль.</w:t>
            </w:r>
          </w:p>
          <w:p w:rsidR="0068759B" w:rsidRDefault="0068759B" w:rsidP="00F748D1">
            <w:pPr>
              <w:autoSpaceDE w:val="0"/>
              <w:autoSpaceDN w:val="0"/>
              <w:adjustRightInd w:val="0"/>
              <w:spacing w:after="0" w:line="240" w:lineRule="auto"/>
              <w:ind w:firstLine="540"/>
              <w:jc w:val="both"/>
              <w:rPr>
                <w:rFonts w:ascii="Tahoma" w:hAnsi="Tahoma" w:cs="Tahoma"/>
                <w:sz w:val="20"/>
                <w:szCs w:val="20"/>
              </w:rPr>
            </w:pPr>
          </w:p>
          <w:p w:rsidR="00F748D1" w:rsidRPr="00F748D1" w:rsidRDefault="00F748D1"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С</w:t>
            </w:r>
            <w:r w:rsidRPr="00F748D1">
              <w:rPr>
                <w:rFonts w:ascii="Tahoma" w:hAnsi="Tahoma" w:cs="Tahoma"/>
                <w:sz w:val="20"/>
                <w:szCs w:val="20"/>
              </w:rPr>
              <w:t>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proofErr w:type="gramStart"/>
            <w:r w:rsidRPr="000E134B">
              <w:rPr>
                <w:rFonts w:ascii="Tahoma" w:hAnsi="Tahoma" w:cs="Tahoma"/>
                <w:b/>
                <w:sz w:val="20"/>
                <w:szCs w:val="20"/>
                <w:lang w:val="en-US"/>
              </w:rPr>
              <w:t>c</w:t>
            </w:r>
            <w:proofErr w:type="spellStart"/>
            <w:r w:rsidRPr="000E134B">
              <w:rPr>
                <w:rFonts w:ascii="Tahoma" w:hAnsi="Tahoma" w:cs="Tahoma"/>
                <w:b/>
                <w:sz w:val="20"/>
                <w:szCs w:val="20"/>
              </w:rPr>
              <w:t>пособ</w:t>
            </w:r>
            <w:proofErr w:type="spellEnd"/>
            <w:proofErr w:type="gramEnd"/>
            <w:r w:rsidRPr="000E134B">
              <w:rPr>
                <w:rFonts w:ascii="Tahoma" w:hAnsi="Tahoma" w:cs="Tahoma"/>
                <w:b/>
                <w:sz w:val="20"/>
                <w:szCs w:val="20"/>
              </w:rPr>
              <w:t xml:space="preserve"> размещения ценных бумаг: закрытая подписка.</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lastRenderedPageBreak/>
              <w:t>Круг потенциальных приобретателей ценных бумаг:</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ab/>
              <w:t>все акционеры - владельцы обыкновенных акций Публичного акционерного общества «Торговый Дом ГУМ» по состоянию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w:t>
            </w:r>
            <w:r w:rsidR="008977F6">
              <w:rPr>
                <w:rFonts w:ascii="Tahoma" w:hAnsi="Tahoma" w:cs="Tahoma"/>
                <w:b/>
                <w:sz w:val="20"/>
                <w:szCs w:val="20"/>
              </w:rPr>
              <w:t>рытой подписке (23 марта 2016 года</w:t>
            </w:r>
            <w:r w:rsidRPr="000E134B">
              <w:rPr>
                <w:rFonts w:ascii="Tahoma" w:hAnsi="Tahoma" w:cs="Tahoma"/>
                <w:b/>
                <w:sz w:val="20"/>
                <w:szCs w:val="20"/>
              </w:rPr>
              <w:t xml:space="preserve">). </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t xml:space="preserve">Акционеры Публичного акционерного общества «Торговый Дом ГУМ» имеют возможность приобрести целое число размещаемых акций пропорционально количеству принадлежащих им обыкновенных акций Публичного акционерного общества «Торговый Дом ГУМ». </w:t>
            </w:r>
            <w:proofErr w:type="gramStart"/>
            <w:r w:rsidRPr="000E134B">
              <w:rPr>
                <w:rFonts w:ascii="Tahoma" w:hAnsi="Tahoma" w:cs="Tahoma"/>
                <w:b/>
                <w:sz w:val="20"/>
                <w:szCs w:val="20"/>
              </w:rPr>
              <w:t>Список лиц, среди которых предполагается осуществить размещение дополнительных акций Публичного акционерного общества «Торговый Дом ГУМ», и количество принадлежащих им акций определяются на основании данных реестра акционеров Публичного акционерного общества «Торговый Дом ГУМ»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решением о размещении указан</w:t>
            </w:r>
            <w:r w:rsidR="00AD4245">
              <w:rPr>
                <w:rFonts w:ascii="Tahoma" w:hAnsi="Tahoma" w:cs="Tahoma"/>
                <w:b/>
                <w:sz w:val="20"/>
                <w:szCs w:val="20"/>
              </w:rPr>
              <w:t>ных ценных бумаг</w:t>
            </w:r>
            <w:proofErr w:type="gramEnd"/>
            <w:r w:rsidR="00AD4245">
              <w:rPr>
                <w:rFonts w:ascii="Tahoma" w:hAnsi="Tahoma" w:cs="Tahoma"/>
                <w:b/>
                <w:sz w:val="20"/>
                <w:szCs w:val="20"/>
              </w:rPr>
              <w:t xml:space="preserve"> (</w:t>
            </w:r>
            <w:proofErr w:type="gramStart"/>
            <w:r w:rsidR="00AD4245">
              <w:rPr>
                <w:rFonts w:ascii="Tahoma" w:hAnsi="Tahoma" w:cs="Tahoma"/>
                <w:b/>
                <w:sz w:val="20"/>
                <w:szCs w:val="20"/>
              </w:rPr>
              <w:t>23 марта 2016 года</w:t>
            </w:r>
            <w:r w:rsidRPr="000E134B">
              <w:rPr>
                <w:rFonts w:ascii="Tahoma" w:hAnsi="Tahoma" w:cs="Tahoma"/>
                <w:b/>
                <w:sz w:val="20"/>
                <w:szCs w:val="20"/>
              </w:rPr>
              <w:t>).</w:t>
            </w:r>
            <w:proofErr w:type="gramEnd"/>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t xml:space="preserve">Размещение дополнительных акций Публичного акционерного общества «Торговый Дом ГУМ» осуществляется в два этапа. </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r>
            <w:proofErr w:type="gramStart"/>
            <w:r w:rsidRPr="000E134B">
              <w:rPr>
                <w:rFonts w:ascii="Tahoma" w:hAnsi="Tahoma" w:cs="Tahoma"/>
                <w:b/>
                <w:sz w:val="20"/>
                <w:szCs w:val="20"/>
              </w:rPr>
              <w:t>На первом этапе размещения дополнительных акций каждый акционер - владелец обыкновенных акций Публичного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Публичного акционерного общества «Торговый Дом ГУМ»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w:t>
            </w:r>
            <w:r w:rsidR="00AA405A">
              <w:rPr>
                <w:rFonts w:ascii="Tahoma" w:hAnsi="Tahoma" w:cs="Tahoma"/>
                <w:b/>
                <w:sz w:val="20"/>
                <w:szCs w:val="20"/>
              </w:rPr>
              <w:t>рытой подписке (23 марта</w:t>
            </w:r>
            <w:proofErr w:type="gramEnd"/>
            <w:r w:rsidR="00AA405A">
              <w:rPr>
                <w:rFonts w:ascii="Tahoma" w:hAnsi="Tahoma" w:cs="Tahoma"/>
                <w:b/>
                <w:sz w:val="20"/>
                <w:szCs w:val="20"/>
              </w:rPr>
              <w:t xml:space="preserve"> </w:t>
            </w:r>
            <w:proofErr w:type="gramStart"/>
            <w:r w:rsidR="00AA405A">
              <w:rPr>
                <w:rFonts w:ascii="Tahoma" w:hAnsi="Tahoma" w:cs="Tahoma"/>
                <w:b/>
                <w:sz w:val="20"/>
                <w:szCs w:val="20"/>
              </w:rPr>
              <w:t>2016 года</w:t>
            </w:r>
            <w:r w:rsidRPr="000E134B">
              <w:rPr>
                <w:rFonts w:ascii="Tahoma" w:hAnsi="Tahoma" w:cs="Tahoma"/>
                <w:b/>
                <w:sz w:val="20"/>
                <w:szCs w:val="20"/>
              </w:rPr>
              <w:t>).</w:t>
            </w:r>
            <w:proofErr w:type="gramEnd"/>
            <w:r w:rsidRPr="000E134B">
              <w:rPr>
                <w:rFonts w:ascii="Tahoma" w:hAnsi="Tahoma" w:cs="Tahoma"/>
                <w:b/>
                <w:sz w:val="20"/>
                <w:szCs w:val="20"/>
              </w:rPr>
              <w:t xml:space="preserve">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68759B" w:rsidRPr="000E134B" w:rsidRDefault="0068759B" w:rsidP="0068759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ab/>
            </w:r>
            <w:proofErr w:type="gramStart"/>
            <w:r w:rsidRPr="000E134B">
              <w:rPr>
                <w:rFonts w:ascii="Tahoma" w:hAnsi="Tahoma" w:cs="Tahoma"/>
                <w:b/>
                <w:sz w:val="20"/>
                <w:szCs w:val="20"/>
              </w:rPr>
              <w:t>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Публичного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0E134B">
              <w:rPr>
                <w:rFonts w:ascii="Tahoma" w:hAnsi="Tahoma" w:cs="Tahoma"/>
                <w:b/>
                <w:sz w:val="20"/>
                <w:szCs w:val="20"/>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Публичного акционерного общества «Торговый Дом ГУМ» -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Акционерное общество «Группа компаний ММД «Восток и Запад» может приобрести подлежащие размещению на втором этапе дополнительные акции Публичного акционерного общества «Торговый Дом ГУМ» полностью или частично. </w:t>
            </w:r>
          </w:p>
          <w:p w:rsidR="00F748D1" w:rsidRDefault="00F748D1" w:rsidP="00F748D1">
            <w:pPr>
              <w:autoSpaceDE w:val="0"/>
              <w:autoSpaceDN w:val="0"/>
              <w:adjustRightInd w:val="0"/>
              <w:spacing w:after="0" w:line="240" w:lineRule="auto"/>
              <w:ind w:firstLine="540"/>
              <w:jc w:val="both"/>
              <w:rPr>
                <w:rFonts w:ascii="Tahoma" w:hAnsi="Tahoma" w:cs="Tahoma"/>
                <w:sz w:val="20"/>
                <w:szCs w:val="20"/>
              </w:rPr>
            </w:pPr>
          </w:p>
          <w:p w:rsidR="00F748D1" w:rsidRPr="00F748D1" w:rsidRDefault="0068759B"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00F748D1" w:rsidRPr="00F748D1">
              <w:rPr>
                <w:rFonts w:ascii="Tahoma" w:hAnsi="Tahoma" w:cs="Tahoma"/>
                <w:sz w:val="20"/>
                <w:szCs w:val="20"/>
              </w:rPr>
              <w:t>редоставление акционерам (участникам) эмитента и (или) иным лицам преимущественного права приобретения ценных бумаг;</w:t>
            </w:r>
          </w:p>
          <w:p w:rsidR="0068759B" w:rsidRPr="00EE22AA" w:rsidRDefault="0068759B" w:rsidP="0068759B">
            <w:pPr>
              <w:spacing w:after="0" w:line="240" w:lineRule="auto"/>
              <w:jc w:val="both"/>
              <w:rPr>
                <w:rFonts w:ascii="Tahoma" w:eastAsia="Times New Roman" w:hAnsi="Tahoma" w:cs="Tahoma"/>
                <w:b/>
                <w:sz w:val="20"/>
                <w:szCs w:val="20"/>
                <w:lang w:eastAsia="ru-RU"/>
              </w:rPr>
            </w:pPr>
            <w:r w:rsidRPr="00EE22AA">
              <w:rPr>
                <w:rFonts w:ascii="Tahoma" w:eastAsia="Times New Roman" w:hAnsi="Tahoma" w:cs="Tahoma"/>
                <w:b/>
                <w:sz w:val="20"/>
                <w:szCs w:val="20"/>
                <w:lang w:eastAsia="ru-RU"/>
              </w:rPr>
              <w:tab/>
            </w:r>
            <w:r>
              <w:rPr>
                <w:rFonts w:ascii="Tahoma" w:eastAsia="Times New Roman" w:hAnsi="Tahoma" w:cs="Tahoma"/>
                <w:b/>
                <w:sz w:val="20"/>
                <w:szCs w:val="20"/>
                <w:lang w:eastAsia="ru-RU"/>
              </w:rPr>
              <w:t>п</w:t>
            </w:r>
            <w:r w:rsidRPr="00EE22AA">
              <w:rPr>
                <w:rFonts w:ascii="Tahoma" w:eastAsia="Times New Roman" w:hAnsi="Tahoma" w:cs="Tahoma"/>
                <w:b/>
                <w:sz w:val="20"/>
                <w:szCs w:val="20"/>
                <w:lang w:eastAsia="ru-RU"/>
              </w:rPr>
              <w:t xml:space="preserve">ри размещении эмитентом дополнительных акций преимущественное право приобретения размещаемых ценных бумаг в соответствии со </w:t>
            </w:r>
            <w:hyperlink r:id="rId10" w:history="1">
              <w:r w:rsidRPr="00EE22AA">
                <w:rPr>
                  <w:rFonts w:ascii="Tahoma" w:eastAsia="Times New Roman" w:hAnsi="Tahoma" w:cs="Tahoma"/>
                  <w:b/>
                  <w:sz w:val="20"/>
                  <w:szCs w:val="20"/>
                  <w:lang w:eastAsia="ru-RU"/>
                </w:rPr>
                <w:t>статьями 40</w:t>
              </w:r>
            </w:hyperlink>
            <w:r w:rsidRPr="00EE22AA">
              <w:rPr>
                <w:rFonts w:ascii="Tahoma" w:eastAsia="Times New Roman" w:hAnsi="Tahoma" w:cs="Tahoma"/>
                <w:b/>
                <w:sz w:val="20"/>
                <w:szCs w:val="20"/>
                <w:lang w:eastAsia="ru-RU"/>
              </w:rPr>
              <w:t xml:space="preserve"> и </w:t>
            </w:r>
            <w:hyperlink r:id="rId11" w:history="1">
              <w:r w:rsidRPr="00EE22AA">
                <w:rPr>
                  <w:rFonts w:ascii="Tahoma" w:eastAsia="Times New Roman" w:hAnsi="Tahoma" w:cs="Tahoma"/>
                  <w:b/>
                  <w:sz w:val="20"/>
                  <w:szCs w:val="20"/>
                  <w:lang w:eastAsia="ru-RU"/>
                </w:rPr>
                <w:t>41</w:t>
              </w:r>
            </w:hyperlink>
            <w:r w:rsidRPr="00EE22AA">
              <w:rPr>
                <w:rFonts w:ascii="Tahoma" w:eastAsia="Times New Roman" w:hAnsi="Tahoma" w:cs="Tahoma"/>
                <w:b/>
                <w:sz w:val="20"/>
                <w:szCs w:val="20"/>
                <w:lang w:eastAsia="ru-RU"/>
              </w:rPr>
              <w:t xml:space="preserve"> Федерального закона «Об акционерных обществах» не возникает. </w:t>
            </w:r>
          </w:p>
          <w:p w:rsidR="0068759B" w:rsidRDefault="0068759B" w:rsidP="00F748D1">
            <w:pPr>
              <w:autoSpaceDE w:val="0"/>
              <w:autoSpaceDN w:val="0"/>
              <w:adjustRightInd w:val="0"/>
              <w:spacing w:after="0" w:line="240" w:lineRule="auto"/>
              <w:ind w:firstLine="540"/>
              <w:jc w:val="both"/>
              <w:rPr>
                <w:rFonts w:ascii="Tahoma" w:hAnsi="Tahoma" w:cs="Tahoma"/>
                <w:sz w:val="20"/>
                <w:szCs w:val="20"/>
              </w:rPr>
            </w:pPr>
          </w:p>
          <w:p w:rsidR="00F748D1" w:rsidRDefault="0068759B"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Ц</w:t>
            </w:r>
            <w:r w:rsidR="00F748D1" w:rsidRPr="00F748D1">
              <w:rPr>
                <w:rFonts w:ascii="Tahoma" w:hAnsi="Tahoma" w:cs="Tahoma"/>
                <w:sz w:val="20"/>
                <w:szCs w:val="20"/>
              </w:rPr>
              <w:t>ена размещения ценных бумаг или порядок ее определения в виде формулы с переменными, значения которых не могут изменяться в зависимости от усмотрения эмитента</w:t>
            </w:r>
            <w:r>
              <w:rPr>
                <w:rFonts w:ascii="Tahoma" w:hAnsi="Tahoma" w:cs="Tahoma"/>
                <w:sz w:val="20"/>
                <w:szCs w:val="20"/>
              </w:rPr>
              <w:t>:</w:t>
            </w:r>
          </w:p>
          <w:p w:rsidR="0068759B" w:rsidRPr="000E134B" w:rsidRDefault="0068759B" w:rsidP="0068759B">
            <w:pPr>
              <w:spacing w:after="0" w:line="240" w:lineRule="auto"/>
              <w:jc w:val="both"/>
              <w:rPr>
                <w:rFonts w:ascii="Tahoma" w:eastAsia="Times New Roman" w:hAnsi="Tahoma" w:cs="Tahoma"/>
                <w:b/>
                <w:sz w:val="20"/>
                <w:szCs w:val="20"/>
                <w:lang w:eastAsia="ru-RU"/>
              </w:rPr>
            </w:pPr>
            <w:r w:rsidRPr="000E134B">
              <w:rPr>
                <w:rFonts w:ascii="Tahoma" w:eastAsia="Times New Roman" w:hAnsi="Tahoma" w:cs="Tahoma"/>
                <w:b/>
                <w:sz w:val="20"/>
                <w:szCs w:val="20"/>
                <w:lang w:eastAsia="ru-RU"/>
              </w:rPr>
              <w:tab/>
            </w:r>
            <w:r>
              <w:rPr>
                <w:rFonts w:ascii="Tahoma" w:eastAsia="Times New Roman" w:hAnsi="Tahoma" w:cs="Tahoma"/>
                <w:b/>
                <w:sz w:val="20"/>
                <w:szCs w:val="20"/>
                <w:lang w:eastAsia="ru-RU"/>
              </w:rPr>
              <w:t>ц</w:t>
            </w:r>
            <w:r w:rsidRPr="000E134B">
              <w:rPr>
                <w:rFonts w:ascii="Tahoma" w:eastAsia="Times New Roman" w:hAnsi="Tahoma" w:cs="Tahoma"/>
                <w:b/>
                <w:sz w:val="20"/>
                <w:szCs w:val="20"/>
                <w:lang w:eastAsia="ru-RU"/>
              </w:rPr>
              <w:t>ена размещения ценных бумаг, размещаемых путем подписки: 1 (Один) рубль за одну акцию.</w:t>
            </w:r>
          </w:p>
          <w:p w:rsidR="0068759B" w:rsidRPr="00F748D1" w:rsidRDefault="0068759B" w:rsidP="00F748D1">
            <w:pPr>
              <w:autoSpaceDE w:val="0"/>
              <w:autoSpaceDN w:val="0"/>
              <w:adjustRightInd w:val="0"/>
              <w:spacing w:after="0" w:line="240" w:lineRule="auto"/>
              <w:ind w:firstLine="540"/>
              <w:jc w:val="both"/>
              <w:rPr>
                <w:rFonts w:ascii="Tahoma" w:hAnsi="Tahoma" w:cs="Tahoma"/>
                <w:sz w:val="20"/>
                <w:szCs w:val="20"/>
              </w:rPr>
            </w:pPr>
          </w:p>
          <w:p w:rsidR="00F748D1" w:rsidRDefault="0068759B"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00F748D1" w:rsidRPr="00F748D1">
              <w:rPr>
                <w:rFonts w:ascii="Tahoma" w:hAnsi="Tahoma" w:cs="Tahoma"/>
                <w:sz w:val="20"/>
                <w:szCs w:val="20"/>
              </w:rPr>
              <w:t>ата начала размещения ценных бумаг (дата, с которой могут совершаться действия, являю</w:t>
            </w:r>
            <w:r>
              <w:rPr>
                <w:rFonts w:ascii="Tahoma" w:hAnsi="Tahoma" w:cs="Tahoma"/>
                <w:sz w:val="20"/>
                <w:szCs w:val="20"/>
              </w:rPr>
              <w:t>щиеся размещением ценных бумаг):</w:t>
            </w:r>
          </w:p>
          <w:p w:rsidR="0068759B" w:rsidRPr="0068759B" w:rsidRDefault="00A53F3C" w:rsidP="0068759B">
            <w:pPr>
              <w:autoSpaceDE w:val="0"/>
              <w:autoSpaceDN w:val="0"/>
              <w:adjustRightInd w:val="0"/>
              <w:spacing w:after="0" w:line="240" w:lineRule="auto"/>
              <w:ind w:firstLine="540"/>
              <w:jc w:val="both"/>
              <w:rPr>
                <w:rFonts w:ascii="Tahoma" w:hAnsi="Tahoma" w:cs="Tahoma"/>
                <w:b/>
                <w:bCs/>
                <w:iCs/>
                <w:sz w:val="20"/>
                <w:szCs w:val="20"/>
              </w:rPr>
            </w:pPr>
            <w:proofErr w:type="gramStart"/>
            <w:r w:rsidRPr="00A53F3C">
              <w:rPr>
                <w:rFonts w:ascii="Tahoma" w:hAnsi="Tahoma" w:cs="Tahoma"/>
                <w:b/>
                <w:sz w:val="20"/>
                <w:szCs w:val="20"/>
              </w:rPr>
              <w:t xml:space="preserve">07 мая </w:t>
            </w:r>
            <w:r w:rsidR="008C4AD1">
              <w:rPr>
                <w:rFonts w:ascii="Tahoma" w:hAnsi="Tahoma" w:cs="Tahoma"/>
                <w:b/>
                <w:sz w:val="20"/>
                <w:szCs w:val="20"/>
              </w:rPr>
              <w:t>2016</w:t>
            </w:r>
            <w:r w:rsidR="00AD4245">
              <w:rPr>
                <w:rFonts w:ascii="Tahoma" w:hAnsi="Tahoma" w:cs="Tahoma"/>
                <w:b/>
                <w:sz w:val="20"/>
                <w:szCs w:val="20"/>
              </w:rPr>
              <w:t xml:space="preserve"> года</w:t>
            </w:r>
            <w:r w:rsidR="00385CC5">
              <w:rPr>
                <w:rFonts w:ascii="Tahoma" w:hAnsi="Tahoma" w:cs="Tahoma"/>
                <w:b/>
                <w:sz w:val="20"/>
                <w:szCs w:val="20"/>
              </w:rPr>
              <w:t xml:space="preserve">  (</w:t>
            </w:r>
            <w:r w:rsidR="0068759B" w:rsidRPr="00A53F3C">
              <w:rPr>
                <w:rFonts w:ascii="Tahoma" w:hAnsi="Tahoma" w:cs="Tahoma"/>
                <w:b/>
                <w:bCs/>
                <w:iCs/>
                <w:sz w:val="20"/>
                <w:szCs w:val="20"/>
              </w:rPr>
              <w:t>день</w:t>
            </w:r>
            <w:r w:rsidR="0068759B" w:rsidRPr="0068759B">
              <w:rPr>
                <w:rFonts w:ascii="Tahoma" w:hAnsi="Tahoma" w:cs="Tahoma"/>
                <w:b/>
                <w:bCs/>
                <w:iCs/>
                <w:sz w:val="20"/>
                <w:szCs w:val="20"/>
              </w:rPr>
              <w:t xml:space="preserve">, </w:t>
            </w:r>
            <w:r w:rsidR="0068759B" w:rsidRPr="0068759B">
              <w:rPr>
                <w:rFonts w:ascii="Tahoma" w:hAnsi="Tahoma" w:cs="Tahoma"/>
                <w:b/>
                <w:sz w:val="20"/>
                <w:szCs w:val="20"/>
              </w:rPr>
              <w:t>следующий</w:t>
            </w:r>
            <w:r w:rsidR="0068759B" w:rsidRPr="0068759B">
              <w:rPr>
                <w:rFonts w:ascii="Tahoma" w:hAnsi="Tahoma" w:cs="Tahoma"/>
                <w:b/>
                <w:bCs/>
                <w:iCs/>
                <w:sz w:val="20"/>
                <w:szCs w:val="20"/>
              </w:rPr>
              <w:t xml:space="preserve"> за днем: </w:t>
            </w:r>
            <w:proofErr w:type="gramEnd"/>
          </w:p>
          <w:p w:rsidR="0068759B" w:rsidRPr="004C3345" w:rsidRDefault="0068759B" w:rsidP="0068759B">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 xml:space="preserve"> </w:t>
            </w:r>
            <w:r w:rsidRPr="004C3345">
              <w:rPr>
                <w:rFonts w:ascii="Tahoma" w:hAnsi="Tahoma" w:cs="Tahoma"/>
                <w:b/>
                <w:bCs/>
                <w:iCs/>
                <w:sz w:val="20"/>
                <w:szCs w:val="20"/>
              </w:rPr>
              <w:tab/>
            </w:r>
            <w:r w:rsidR="00385CC5">
              <w:rPr>
                <w:rFonts w:ascii="Tahoma" w:hAnsi="Tahoma" w:cs="Tahoma"/>
                <w:b/>
                <w:bCs/>
                <w:iCs/>
                <w:sz w:val="20"/>
                <w:szCs w:val="20"/>
              </w:rPr>
              <w:t xml:space="preserve">            </w:t>
            </w:r>
            <w:r w:rsidRPr="004C3345">
              <w:rPr>
                <w:rFonts w:ascii="Tahoma" w:hAnsi="Tahoma" w:cs="Tahoma"/>
                <w:b/>
                <w:bCs/>
                <w:iCs/>
                <w:sz w:val="20"/>
                <w:szCs w:val="20"/>
              </w:rPr>
              <w:t xml:space="preserve">- опубликования </w:t>
            </w:r>
          </w:p>
          <w:p w:rsidR="0068759B" w:rsidRPr="004C3345" w:rsidRDefault="0068759B" w:rsidP="0068759B">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сайте Общества в информационно-телекоммуникационной сети Интернет по адресу </w:t>
            </w:r>
            <w:hyperlink r:id="rId12" w:history="1">
              <w:r w:rsidRPr="004C3345">
                <w:rPr>
                  <w:rFonts w:ascii="Tahoma" w:hAnsi="Tahoma" w:cs="Tahoma"/>
                  <w:b/>
                  <w:bCs/>
                  <w:iCs/>
                  <w:sz w:val="20"/>
                  <w:szCs w:val="20"/>
                </w:rPr>
                <w:t>www.gum.ru/issuer/</w:t>
              </w:r>
            </w:hyperlink>
            <w:r w:rsidRPr="004C3345">
              <w:rPr>
                <w:rFonts w:ascii="Tahoma" w:hAnsi="Tahoma" w:cs="Tahoma"/>
                <w:b/>
                <w:bCs/>
                <w:iCs/>
                <w:sz w:val="20"/>
                <w:szCs w:val="20"/>
              </w:rPr>
              <w:t xml:space="preserve">; </w:t>
            </w:r>
          </w:p>
          <w:p w:rsidR="0068759B" w:rsidRPr="004C3345" w:rsidRDefault="0068759B" w:rsidP="0068759B">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странице в сети Интернет, используемой Эмитентом для раскрытия информации </w:t>
            </w:r>
            <w:hyperlink r:id="rId13" w:history="1">
              <w:r w:rsidRPr="004C3345">
                <w:rPr>
                  <w:rFonts w:ascii="Tahoma" w:hAnsi="Tahoma" w:cs="Tahoma"/>
                  <w:b/>
                  <w:bCs/>
                  <w:iCs/>
                  <w:sz w:val="20"/>
                  <w:szCs w:val="20"/>
                </w:rPr>
                <w:t>http://www.e-disclosure.ru/portal/company.aspx?id=266</w:t>
              </w:r>
            </w:hyperlink>
            <w:r w:rsidRPr="004C3345">
              <w:rPr>
                <w:rFonts w:ascii="Tahoma" w:hAnsi="Tahoma" w:cs="Tahoma"/>
                <w:b/>
                <w:bCs/>
                <w:iCs/>
                <w:sz w:val="20"/>
                <w:szCs w:val="20"/>
              </w:rPr>
              <w:t xml:space="preserve">; </w:t>
            </w:r>
          </w:p>
          <w:p w:rsidR="0068759B" w:rsidRPr="004C3345" w:rsidRDefault="0068759B" w:rsidP="0068759B">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lastRenderedPageBreak/>
              <w:t xml:space="preserve">- направления заказными письмами акционерам, включенным в список акционеров, имеющих право приобретения размещаемых ценных бумаг; </w:t>
            </w:r>
          </w:p>
          <w:p w:rsidR="0068759B" w:rsidRPr="004C3345" w:rsidRDefault="0068759B" w:rsidP="0068759B">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t>- направления номинальному держателю в электронной форме (в форме электронных документов, подписанных электронной подписью) (в случае если зарегистрированным в реестре акционеров Эмитента лицом является номинальный держатель акций)</w:t>
            </w:r>
            <w:r w:rsidR="00385CC5">
              <w:rPr>
                <w:rFonts w:ascii="Tahoma" w:hAnsi="Tahoma" w:cs="Tahoma"/>
                <w:b/>
                <w:bCs/>
                <w:iCs/>
                <w:sz w:val="20"/>
                <w:szCs w:val="20"/>
              </w:rPr>
              <w:t>.</w:t>
            </w:r>
            <w:r w:rsidRPr="004C3345">
              <w:rPr>
                <w:rFonts w:ascii="Tahoma" w:hAnsi="Tahoma" w:cs="Tahoma"/>
                <w:b/>
                <w:bCs/>
                <w:iCs/>
                <w:sz w:val="20"/>
                <w:szCs w:val="20"/>
              </w:rPr>
              <w:t xml:space="preserve"> </w:t>
            </w:r>
          </w:p>
          <w:p w:rsidR="0068759B" w:rsidRPr="004C3345" w:rsidRDefault="0068759B" w:rsidP="0068759B">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 xml:space="preserve">уведомления о возможности приобретения всеми акционерами Публичного акционерного общества «Торговый Дом ГУМ» целого числа размещаемых ценных бумаг, пропорционального количеству принадлежащих им обыкновенных акций (далее также - Уведомление). </w:t>
            </w:r>
            <w:proofErr w:type="gramStart"/>
            <w:r w:rsidRPr="00A53F3C">
              <w:rPr>
                <w:rFonts w:ascii="Tahoma" w:hAnsi="Tahoma" w:cs="Tahoma"/>
                <w:b/>
                <w:bCs/>
                <w:iCs/>
                <w:sz w:val="20"/>
                <w:szCs w:val="20"/>
              </w:rPr>
              <w:t xml:space="preserve">Уведомление опубликовано на указанных сайтах в сети Интернет, направлено акционерам заказными письмами и номинальному держателю в электронной форме (в форме электронных документов, подписанных электронной подписью) </w:t>
            </w:r>
            <w:bookmarkStart w:id="0" w:name="_GoBack"/>
            <w:bookmarkEnd w:id="0"/>
            <w:r w:rsidRPr="00A53F3C">
              <w:rPr>
                <w:rFonts w:ascii="Tahoma" w:hAnsi="Tahoma" w:cs="Tahoma"/>
                <w:b/>
                <w:bCs/>
                <w:iCs/>
                <w:sz w:val="20"/>
                <w:szCs w:val="20"/>
              </w:rPr>
              <w:t xml:space="preserve">в один день </w:t>
            </w:r>
            <w:r w:rsidR="00A53F3C" w:rsidRPr="00A53F3C">
              <w:rPr>
                <w:rFonts w:ascii="Tahoma" w:hAnsi="Tahoma" w:cs="Tahoma"/>
                <w:b/>
                <w:bCs/>
                <w:iCs/>
                <w:sz w:val="20"/>
                <w:szCs w:val="20"/>
              </w:rPr>
              <w:t>06 мая</w:t>
            </w:r>
            <w:r w:rsidR="003669A8">
              <w:rPr>
                <w:rFonts w:ascii="Tahoma" w:hAnsi="Tahoma" w:cs="Tahoma"/>
                <w:b/>
                <w:bCs/>
                <w:iCs/>
                <w:sz w:val="20"/>
                <w:szCs w:val="20"/>
              </w:rPr>
              <w:t xml:space="preserve"> 2016</w:t>
            </w:r>
            <w:r w:rsidR="00AD4245">
              <w:rPr>
                <w:rFonts w:ascii="Tahoma" w:hAnsi="Tahoma" w:cs="Tahoma"/>
                <w:b/>
                <w:bCs/>
                <w:iCs/>
                <w:sz w:val="20"/>
                <w:szCs w:val="20"/>
              </w:rPr>
              <w:t xml:space="preserve"> года</w:t>
            </w:r>
            <w:r w:rsidR="00271F44" w:rsidRPr="00A53F3C">
              <w:rPr>
                <w:rFonts w:ascii="Tahoma" w:hAnsi="Tahoma" w:cs="Tahoma"/>
                <w:b/>
                <w:bCs/>
                <w:iCs/>
                <w:sz w:val="20"/>
                <w:szCs w:val="20"/>
              </w:rPr>
              <w:t>)</w:t>
            </w:r>
            <w:r w:rsidRPr="00A53F3C">
              <w:rPr>
                <w:rFonts w:ascii="Tahoma" w:hAnsi="Tahoma" w:cs="Tahoma"/>
                <w:b/>
                <w:bCs/>
                <w:iCs/>
                <w:sz w:val="20"/>
                <w:szCs w:val="20"/>
              </w:rPr>
              <w:t>.</w:t>
            </w:r>
            <w:proofErr w:type="gramEnd"/>
          </w:p>
          <w:p w:rsidR="0068759B" w:rsidRPr="00F748D1" w:rsidRDefault="0068759B" w:rsidP="00F748D1">
            <w:pPr>
              <w:autoSpaceDE w:val="0"/>
              <w:autoSpaceDN w:val="0"/>
              <w:adjustRightInd w:val="0"/>
              <w:spacing w:after="0" w:line="240" w:lineRule="auto"/>
              <w:ind w:firstLine="540"/>
              <w:jc w:val="both"/>
              <w:rPr>
                <w:rFonts w:ascii="Tahoma" w:hAnsi="Tahoma" w:cs="Tahoma"/>
                <w:sz w:val="20"/>
                <w:szCs w:val="20"/>
              </w:rPr>
            </w:pPr>
          </w:p>
          <w:p w:rsidR="00F748D1" w:rsidRPr="00F748D1" w:rsidRDefault="0068759B" w:rsidP="00F748D1">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00F748D1" w:rsidRPr="00F748D1">
              <w:rPr>
                <w:rFonts w:ascii="Tahoma" w:hAnsi="Tahoma" w:cs="Tahoma"/>
                <w:sz w:val="20"/>
                <w:szCs w:val="20"/>
              </w:rPr>
              <w:t>ата окончания размещения ценных бумаг или порядок ее определения</w:t>
            </w:r>
            <w:r>
              <w:rPr>
                <w:rFonts w:ascii="Tahoma" w:hAnsi="Tahoma" w:cs="Tahoma"/>
                <w:sz w:val="20"/>
                <w:szCs w:val="20"/>
              </w:rPr>
              <w:t>:</w:t>
            </w:r>
          </w:p>
          <w:p w:rsidR="0068759B" w:rsidRPr="004C3345" w:rsidRDefault="0068759B" w:rsidP="0068759B">
            <w:pPr>
              <w:autoSpaceDE w:val="0"/>
              <w:autoSpaceDN w:val="0"/>
              <w:adjustRightInd w:val="0"/>
              <w:spacing w:after="0" w:line="240" w:lineRule="auto"/>
              <w:ind w:firstLine="540"/>
              <w:jc w:val="both"/>
              <w:rPr>
                <w:rFonts w:ascii="Tahoma" w:hAnsi="Tahoma" w:cs="Tahoma"/>
                <w:b/>
                <w:bCs/>
                <w:iCs/>
                <w:sz w:val="20"/>
                <w:szCs w:val="20"/>
              </w:rPr>
            </w:pPr>
            <w:r w:rsidRPr="004C3345">
              <w:rPr>
                <w:rFonts w:ascii="Tahoma" w:hAnsi="Tahoma" w:cs="Tahoma"/>
                <w:b/>
                <w:sz w:val="20"/>
                <w:szCs w:val="20"/>
              </w:rPr>
              <w:t>Порядок определения даты окончания размещения:</w:t>
            </w:r>
            <w:r w:rsidRPr="004C3345">
              <w:rPr>
                <w:rFonts w:ascii="Tahoma" w:hAnsi="Tahoma" w:cs="Tahoma"/>
                <w:b/>
                <w:bCs/>
                <w:iCs/>
                <w:sz w:val="20"/>
                <w:szCs w:val="20"/>
              </w:rPr>
              <w:t xml:space="preserve"> </w:t>
            </w:r>
          </w:p>
          <w:p w:rsidR="00DB741E" w:rsidRPr="00DB741E" w:rsidRDefault="0068759B" w:rsidP="00A53F3C">
            <w:pPr>
              <w:autoSpaceDE w:val="0"/>
              <w:autoSpaceDN w:val="0"/>
              <w:adjustRightInd w:val="0"/>
              <w:spacing w:after="0" w:line="240" w:lineRule="auto"/>
              <w:ind w:firstLine="540"/>
              <w:jc w:val="both"/>
              <w:rPr>
                <w:rFonts w:ascii="Tahoma" w:hAnsi="Tahoma" w:cs="Tahoma"/>
              </w:rPr>
            </w:pPr>
            <w:r w:rsidRPr="004C3345">
              <w:rPr>
                <w:rFonts w:ascii="Tahoma" w:hAnsi="Tahoma" w:cs="Tahoma"/>
                <w:b/>
                <w:bCs/>
                <w:iCs/>
                <w:sz w:val="20"/>
                <w:szCs w:val="20"/>
              </w:rPr>
              <w:t xml:space="preserve">70-й день </w:t>
            </w:r>
            <w:proofErr w:type="gramStart"/>
            <w:r w:rsidRPr="004C3345">
              <w:rPr>
                <w:rFonts w:ascii="Tahoma" w:hAnsi="Tahoma" w:cs="Tahoma"/>
                <w:b/>
                <w:bCs/>
                <w:iCs/>
                <w:sz w:val="20"/>
                <w:szCs w:val="20"/>
              </w:rPr>
              <w:t>с даты начала</w:t>
            </w:r>
            <w:proofErr w:type="gramEnd"/>
            <w:r w:rsidRPr="004C3345">
              <w:rPr>
                <w:rFonts w:ascii="Tahoma" w:hAnsi="Tahoma" w:cs="Tahoma"/>
                <w:b/>
                <w:bCs/>
                <w:iCs/>
                <w:sz w:val="20"/>
                <w:szCs w:val="20"/>
              </w:rPr>
              <w:t xml:space="preserve"> размещения ценных бумаг или день размещения последней акции дополнительного выпуска, в зависимости от того, какое из вышеуказанных событий наступит ранее.</w:t>
            </w:r>
          </w:p>
        </w:tc>
      </w:tr>
    </w:tbl>
    <w:p w:rsidR="00DB741E" w:rsidRPr="00DB741E" w:rsidRDefault="00DB741E" w:rsidP="00DB741E">
      <w:pPr>
        <w:pStyle w:val="ConsPlusNormal"/>
        <w:jc w:val="both"/>
        <w:rPr>
          <w:rFonts w:ascii="Tahoma" w:hAnsi="Tahoma" w:cs="Tahoma"/>
        </w:rPr>
      </w:pPr>
    </w:p>
    <w:tbl>
      <w:tblPr>
        <w:tblW w:w="9806" w:type="dxa"/>
        <w:tblInd w:w="62" w:type="dxa"/>
        <w:tblLayout w:type="fixed"/>
        <w:tblCellMar>
          <w:top w:w="102" w:type="dxa"/>
          <w:left w:w="62" w:type="dxa"/>
          <w:bottom w:w="102" w:type="dxa"/>
          <w:right w:w="62" w:type="dxa"/>
        </w:tblCellMar>
        <w:tblLook w:val="0000"/>
      </w:tblPr>
      <w:tblGrid>
        <w:gridCol w:w="4536"/>
        <w:gridCol w:w="2549"/>
        <w:gridCol w:w="2721"/>
      </w:tblGrid>
      <w:tr w:rsidR="00DB741E" w:rsidRPr="00DB741E" w:rsidTr="009D2230">
        <w:tc>
          <w:tcPr>
            <w:tcW w:w="9806"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rsidTr="009D2230">
        <w:tc>
          <w:tcPr>
            <w:tcW w:w="4536"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(Договор о передаче полномочий единоличного исполните</w:t>
            </w:r>
            <w:r w:rsidR="005D6482">
              <w:rPr>
                <w:rFonts w:ascii="Tahoma" w:eastAsia="Calibri" w:hAnsi="Tahoma" w:cs="Tahoma"/>
                <w:b/>
              </w:rPr>
              <w:t>льного органа от 15 июня 2015 года</w:t>
            </w:r>
            <w:r w:rsidRPr="00183E32">
              <w:rPr>
                <w:rFonts w:ascii="Tahoma" w:eastAsia="Calibri" w:hAnsi="Tahoma" w:cs="Tahoma"/>
                <w:b/>
              </w:rPr>
              <w:t xml:space="preserve">,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r w:rsidRPr="00DB741E">
              <w:rPr>
                <w:rFonts w:ascii="Tahoma" w:hAnsi="Tahoma" w:cs="Tahoma"/>
              </w:rPr>
              <w:t>И.О. Фамилия</w:t>
            </w:r>
          </w:p>
        </w:tc>
      </w:tr>
      <w:tr w:rsidR="00DB741E" w:rsidRPr="00DB741E" w:rsidTr="009D2230">
        <w:tc>
          <w:tcPr>
            <w:tcW w:w="4536" w:type="dxa"/>
            <w:tcBorders>
              <w:left w:val="single" w:sz="4" w:space="0" w:color="auto"/>
              <w:bottom w:val="single" w:sz="4" w:space="0" w:color="auto"/>
            </w:tcBorders>
          </w:tcPr>
          <w:p w:rsidR="00DB741E" w:rsidRPr="00DB741E" w:rsidRDefault="00DB741E" w:rsidP="00A53F3C">
            <w:pPr>
              <w:pStyle w:val="ConsPlusNormal"/>
              <w:rPr>
                <w:rFonts w:ascii="Tahoma" w:hAnsi="Tahoma" w:cs="Tahoma"/>
              </w:rPr>
            </w:pPr>
            <w:r w:rsidRPr="00DB741E">
              <w:rPr>
                <w:rFonts w:ascii="Tahoma" w:hAnsi="Tahoma" w:cs="Tahoma"/>
              </w:rPr>
              <w:t xml:space="preserve">3.2. Дата </w:t>
            </w:r>
            <w:r w:rsidR="00A53F3C" w:rsidRPr="000E08C9">
              <w:rPr>
                <w:rFonts w:ascii="Tahoma" w:hAnsi="Tahoma" w:cs="Tahoma"/>
                <w:b/>
              </w:rPr>
              <w:t>07 м</w:t>
            </w:r>
            <w:r w:rsidR="00A53F3C">
              <w:rPr>
                <w:rFonts w:ascii="Tahoma" w:hAnsi="Tahoma" w:cs="Tahoma"/>
                <w:b/>
              </w:rPr>
              <w:t>ая</w:t>
            </w:r>
            <w:r w:rsidR="00183E32" w:rsidRPr="00183E32">
              <w:rPr>
                <w:rFonts w:ascii="Tahoma" w:hAnsi="Tahoma" w:cs="Tahoma"/>
                <w:b/>
              </w:rPr>
              <w:t xml:space="preserve">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14"/>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9B" w:rsidRDefault="0099319B" w:rsidP="00E031FC">
      <w:pPr>
        <w:spacing w:after="0" w:line="240" w:lineRule="auto"/>
      </w:pPr>
      <w:r>
        <w:separator/>
      </w:r>
    </w:p>
  </w:endnote>
  <w:endnote w:type="continuationSeparator" w:id="0">
    <w:p w:rsidR="0099319B" w:rsidRDefault="0099319B"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A53F3C" w:rsidRDefault="00BE37CE">
        <w:pPr>
          <w:pStyle w:val="a9"/>
          <w:jc w:val="right"/>
        </w:pPr>
        <w:r>
          <w:fldChar w:fldCharType="begin"/>
        </w:r>
        <w:r w:rsidR="00A53F3C">
          <w:instrText>PAGE   \* MERGEFORMAT</w:instrText>
        </w:r>
        <w:r>
          <w:fldChar w:fldCharType="separate"/>
        </w:r>
        <w:r w:rsidR="005D6482">
          <w:rPr>
            <w:noProof/>
          </w:rPr>
          <w:t>3</w:t>
        </w:r>
        <w:r>
          <w:fldChar w:fldCharType="end"/>
        </w:r>
      </w:p>
    </w:sdtContent>
  </w:sdt>
  <w:p w:rsidR="00A53F3C" w:rsidRDefault="00A53F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9B" w:rsidRDefault="0099319B" w:rsidP="00E031FC">
      <w:pPr>
        <w:spacing w:after="0" w:line="240" w:lineRule="auto"/>
      </w:pPr>
      <w:r>
        <w:separator/>
      </w:r>
    </w:p>
  </w:footnote>
  <w:footnote w:type="continuationSeparator" w:id="0">
    <w:p w:rsidR="0099319B" w:rsidRDefault="0099319B"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5191E"/>
    <w:rsid w:val="0005218D"/>
    <w:rsid w:val="000C153A"/>
    <w:rsid w:val="000E08C9"/>
    <w:rsid w:val="000E134B"/>
    <w:rsid w:val="00183E32"/>
    <w:rsid w:val="001B2CF9"/>
    <w:rsid w:val="001D368D"/>
    <w:rsid w:val="00271F44"/>
    <w:rsid w:val="00317227"/>
    <w:rsid w:val="003669A8"/>
    <w:rsid w:val="00385CC5"/>
    <w:rsid w:val="003C72D3"/>
    <w:rsid w:val="004101D1"/>
    <w:rsid w:val="004C3345"/>
    <w:rsid w:val="004E2A97"/>
    <w:rsid w:val="005D6482"/>
    <w:rsid w:val="006114EF"/>
    <w:rsid w:val="00633176"/>
    <w:rsid w:val="0068759B"/>
    <w:rsid w:val="00780BCB"/>
    <w:rsid w:val="008977F6"/>
    <w:rsid w:val="008C4AD1"/>
    <w:rsid w:val="00943559"/>
    <w:rsid w:val="0099319B"/>
    <w:rsid w:val="009D2230"/>
    <w:rsid w:val="00A43512"/>
    <w:rsid w:val="00A53F3C"/>
    <w:rsid w:val="00A964F6"/>
    <w:rsid w:val="00AA405A"/>
    <w:rsid w:val="00AC08EF"/>
    <w:rsid w:val="00AD4245"/>
    <w:rsid w:val="00B14436"/>
    <w:rsid w:val="00B21B95"/>
    <w:rsid w:val="00B45264"/>
    <w:rsid w:val="00BD554D"/>
    <w:rsid w:val="00BE37CE"/>
    <w:rsid w:val="00D719D3"/>
    <w:rsid w:val="00DA3116"/>
    <w:rsid w:val="00DB741E"/>
    <w:rsid w:val="00E02258"/>
    <w:rsid w:val="00E031FC"/>
    <w:rsid w:val="00E77D5B"/>
    <w:rsid w:val="00E8251C"/>
    <w:rsid w:val="00EA1672"/>
    <w:rsid w:val="00EB5A7A"/>
    <w:rsid w:val="00EE22AA"/>
    <w:rsid w:val="00EF5135"/>
    <w:rsid w:val="00F7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13" Type="http://schemas.openxmlformats.org/officeDocument/2006/relationships/hyperlink" Target="http://www.e-disclosure.ru/portal/company.aspx?id=266" TargetMode="External"/><Relationship Id="rId3" Type="http://schemas.openxmlformats.org/officeDocument/2006/relationships/settings" Target="settings.xml"/><Relationship Id="rId7" Type="http://schemas.openxmlformats.org/officeDocument/2006/relationships/hyperlink" Target="http://www.e-disclosure.ru/portal/company.aspx?id=266" TargetMode="External"/><Relationship Id="rId12" Type="http://schemas.openxmlformats.org/officeDocument/2006/relationships/hyperlink" Target="http://www.gum.ru/issuer/"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2207DA61A0E8F50E50258344E8349469A521E1DCF6603D89EBD8446B7C3DBCFD4A70EFEF9FFF42y3SC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52207DA61A0E8F50E50258344E8349469A521E1DCF6603D89EBD8446B7C3DBCFD4A70EFEF9FF445y3S5J" TargetMode="External"/><Relationship Id="rId4" Type="http://schemas.openxmlformats.org/officeDocument/2006/relationships/webSettings" Target="webSettings.xml"/><Relationship Id="rId9" Type="http://schemas.openxmlformats.org/officeDocument/2006/relationships/hyperlink" Target="consultantplus://offline/ref=9918153EA13B8B98C6ACF226614451EC6CB5FE7F4777F989885E4D1B9EXD18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E2DC-0878-4002-9D5B-9CCFDBF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96</cp:revision>
  <cp:lastPrinted>2016-05-10T09:22:00Z</cp:lastPrinted>
  <dcterms:created xsi:type="dcterms:W3CDTF">2016-05-10T08:25:00Z</dcterms:created>
  <dcterms:modified xsi:type="dcterms:W3CDTF">2016-05-10T09:26:00Z</dcterms:modified>
</cp:coreProperties>
</file>